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71F5F" w14:textId="77777777" w:rsidR="00757A56" w:rsidRDefault="00C63D1A">
      <w:pPr>
        <w:jc w:val="center"/>
        <w:rPr>
          <w:rFonts w:ascii="Times New Roman" w:hAnsi="Times New Roman" w:cs="Times New Roman"/>
          <w:b/>
          <w:u w:val="single"/>
        </w:rPr>
      </w:pPr>
      <w:r>
        <w:rPr>
          <w:rFonts w:ascii="Times New Roman" w:hAnsi="Times New Roman" w:cs="Times New Roman"/>
          <w:b/>
          <w:u w:val="single"/>
        </w:rPr>
        <w:t>Modifications règlementaires – décret du 2 avril 2021</w:t>
      </w:r>
    </w:p>
    <w:p w14:paraId="2E5B566E" w14:textId="77777777" w:rsidR="00757A56" w:rsidRDefault="00757A56">
      <w:pPr>
        <w:jc w:val="center"/>
        <w:rPr>
          <w:rFonts w:ascii="Times New Roman" w:hAnsi="Times New Roman" w:cs="Times New Roman"/>
          <w:b/>
          <w:u w:val="single"/>
        </w:rPr>
      </w:pPr>
    </w:p>
    <w:tbl>
      <w:tblPr>
        <w:tblStyle w:val="Grilledutableau"/>
        <w:tblW w:w="13994" w:type="dxa"/>
        <w:tblLook w:val="04A0" w:firstRow="1" w:lastRow="0" w:firstColumn="1" w:lastColumn="0" w:noHBand="0" w:noVBand="1"/>
      </w:tblPr>
      <w:tblGrid>
        <w:gridCol w:w="1646"/>
        <w:gridCol w:w="1354"/>
        <w:gridCol w:w="5517"/>
        <w:gridCol w:w="5477"/>
      </w:tblGrid>
      <w:tr w:rsidR="00757A56" w14:paraId="6CDB6042" w14:textId="77777777">
        <w:tc>
          <w:tcPr>
            <w:tcW w:w="1645" w:type="dxa"/>
            <w:shd w:val="clear" w:color="auto" w:fill="2E74B5" w:themeFill="accent1" w:themeFillShade="BF"/>
            <w:tcMar>
              <w:left w:w="108" w:type="dxa"/>
            </w:tcMar>
          </w:tcPr>
          <w:p w14:paraId="010F886A" w14:textId="77777777" w:rsidR="00757A56" w:rsidRDefault="00C63D1A">
            <w:pPr>
              <w:spacing w:after="0" w:line="240" w:lineRule="auto"/>
              <w:jc w:val="center"/>
              <w:rPr>
                <w:rFonts w:ascii="Times New Roman" w:hAnsi="Times New Roman" w:cs="Times New Roman"/>
                <w:b/>
              </w:rPr>
            </w:pPr>
            <w:r>
              <w:rPr>
                <w:rFonts w:ascii="Times New Roman" w:hAnsi="Times New Roman" w:cs="Times New Roman"/>
                <w:b/>
              </w:rPr>
              <w:t>Thème</w:t>
            </w:r>
          </w:p>
        </w:tc>
        <w:tc>
          <w:tcPr>
            <w:tcW w:w="1353" w:type="dxa"/>
            <w:shd w:val="clear" w:color="auto" w:fill="2E74B5" w:themeFill="accent1" w:themeFillShade="BF"/>
            <w:tcMar>
              <w:left w:w="108" w:type="dxa"/>
            </w:tcMar>
          </w:tcPr>
          <w:p w14:paraId="4BF104CD" w14:textId="77777777" w:rsidR="00757A56" w:rsidRDefault="00C63D1A">
            <w:pPr>
              <w:spacing w:after="0" w:line="240" w:lineRule="auto"/>
              <w:jc w:val="center"/>
              <w:rPr>
                <w:rFonts w:ascii="Times New Roman" w:hAnsi="Times New Roman" w:cs="Times New Roman"/>
                <w:b/>
              </w:rPr>
            </w:pPr>
            <w:r>
              <w:rPr>
                <w:rFonts w:ascii="Times New Roman" w:hAnsi="Times New Roman" w:cs="Times New Roman"/>
                <w:b/>
              </w:rPr>
              <w:t>Dispositions</w:t>
            </w:r>
          </w:p>
        </w:tc>
        <w:tc>
          <w:tcPr>
            <w:tcW w:w="5518" w:type="dxa"/>
            <w:shd w:val="clear" w:color="auto" w:fill="2E74B5" w:themeFill="accent1" w:themeFillShade="BF"/>
            <w:tcMar>
              <w:left w:w="108" w:type="dxa"/>
            </w:tcMar>
          </w:tcPr>
          <w:p w14:paraId="78521273" w14:textId="77777777" w:rsidR="00757A56" w:rsidRDefault="00C63D1A">
            <w:pPr>
              <w:spacing w:after="0" w:line="240" w:lineRule="auto"/>
              <w:jc w:val="center"/>
              <w:rPr>
                <w:rFonts w:ascii="Times New Roman" w:hAnsi="Times New Roman" w:cs="Times New Roman"/>
                <w:b/>
              </w:rPr>
            </w:pPr>
            <w:r>
              <w:rPr>
                <w:rFonts w:ascii="Times New Roman" w:hAnsi="Times New Roman" w:cs="Times New Roman"/>
                <w:b/>
              </w:rPr>
              <w:t>Objet</w:t>
            </w:r>
          </w:p>
        </w:tc>
        <w:tc>
          <w:tcPr>
            <w:tcW w:w="5477" w:type="dxa"/>
            <w:shd w:val="clear" w:color="auto" w:fill="2E74B5" w:themeFill="accent1" w:themeFillShade="BF"/>
            <w:tcMar>
              <w:left w:w="108" w:type="dxa"/>
            </w:tcMar>
          </w:tcPr>
          <w:p w14:paraId="7F9AB33E" w14:textId="77777777" w:rsidR="00757A56" w:rsidRDefault="00C63D1A">
            <w:pPr>
              <w:spacing w:after="0" w:line="240" w:lineRule="auto"/>
              <w:jc w:val="center"/>
              <w:rPr>
                <w:rFonts w:ascii="Times New Roman" w:hAnsi="Times New Roman" w:cs="Times New Roman"/>
                <w:b/>
              </w:rPr>
            </w:pPr>
            <w:r>
              <w:rPr>
                <w:rFonts w:ascii="Times New Roman" w:hAnsi="Times New Roman" w:cs="Times New Roman"/>
                <w:b/>
              </w:rPr>
              <w:t>Commentaires</w:t>
            </w:r>
          </w:p>
        </w:tc>
      </w:tr>
      <w:tr w:rsidR="00757A56" w14:paraId="05590373" w14:textId="77777777">
        <w:tc>
          <w:tcPr>
            <w:tcW w:w="1645" w:type="dxa"/>
            <w:shd w:val="clear" w:color="auto" w:fill="BDD6EE" w:themeFill="accent1" w:themeFillTint="66"/>
            <w:tcMar>
              <w:left w:w="108" w:type="dxa"/>
            </w:tcMar>
            <w:vAlign w:val="center"/>
          </w:tcPr>
          <w:p w14:paraId="3708C53B"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Interdiction vente et consommation d’alcool sur l’espace public</w:t>
            </w:r>
          </w:p>
        </w:tc>
        <w:tc>
          <w:tcPr>
            <w:tcW w:w="1353" w:type="dxa"/>
            <w:shd w:val="clear" w:color="auto" w:fill="D0CECE" w:themeFill="background2" w:themeFillShade="E6"/>
            <w:tcMar>
              <w:left w:w="108" w:type="dxa"/>
            </w:tcMar>
            <w:vAlign w:val="center"/>
          </w:tcPr>
          <w:p w14:paraId="668328A5"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 3-1 décret du 29/10/2020</w:t>
            </w:r>
          </w:p>
        </w:tc>
        <w:tc>
          <w:tcPr>
            <w:tcW w:w="5518" w:type="dxa"/>
            <w:shd w:val="clear" w:color="auto" w:fill="auto"/>
            <w:tcMar>
              <w:left w:w="108" w:type="dxa"/>
            </w:tcMar>
            <w:vAlign w:val="center"/>
          </w:tcPr>
          <w:p w14:paraId="50BB3555"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Article nouveau ayant pour objet : </w:t>
            </w:r>
          </w:p>
          <w:p w14:paraId="38F9CD3B"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D’interdire la vente à emporter de boissons alcoolisées sur la voie publique ainsi que, lorsqu’elle n’est pas accompagnée de la vente d’un repas, dans les établissements mentionnés à l’article 4 du décret (restaurant, ba</w:t>
            </w:r>
            <w:r>
              <w:rPr>
                <w:rFonts w:ascii="Times New Roman" w:hAnsi="Times New Roman" w:cs="Times New Roman"/>
              </w:rPr>
              <w:t xml:space="preserve">r, hôtel…) ; </w:t>
            </w:r>
          </w:p>
          <w:p w14:paraId="6243119F" w14:textId="77777777" w:rsidR="00757A56" w:rsidRDefault="00757A56">
            <w:pPr>
              <w:pStyle w:val="Paragraphedeliste"/>
              <w:spacing w:after="0" w:line="240" w:lineRule="auto"/>
              <w:jc w:val="both"/>
              <w:rPr>
                <w:rFonts w:ascii="Times New Roman" w:hAnsi="Times New Roman" w:cs="Times New Roman"/>
              </w:rPr>
            </w:pPr>
          </w:p>
          <w:p w14:paraId="4207DBA6"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D’habiliter le préfet à interdire</w:t>
            </w:r>
            <w:r>
              <w:t xml:space="preserve"> </w:t>
            </w:r>
            <w:r>
              <w:rPr>
                <w:rFonts w:ascii="Times New Roman" w:hAnsi="Times New Roman" w:cs="Times New Roman"/>
              </w:rPr>
              <w:t>en fonction des circonstances locales, tout rassemblement de personnes donnant lieu à la consommation de boissons alcoolisées sur la voie publique</w:t>
            </w:r>
          </w:p>
        </w:tc>
        <w:tc>
          <w:tcPr>
            <w:tcW w:w="5477" w:type="dxa"/>
            <w:shd w:val="clear" w:color="auto" w:fill="auto"/>
            <w:tcMar>
              <w:left w:w="108" w:type="dxa"/>
            </w:tcMar>
            <w:vAlign w:val="center"/>
          </w:tcPr>
          <w:p w14:paraId="428255CF" w14:textId="77777777" w:rsidR="00757A56" w:rsidRDefault="00757A56">
            <w:pPr>
              <w:spacing w:after="0" w:line="240" w:lineRule="auto"/>
              <w:jc w:val="both"/>
              <w:rPr>
                <w:rFonts w:ascii="Times New Roman" w:hAnsi="Times New Roman" w:cs="Times New Roman"/>
              </w:rPr>
            </w:pPr>
          </w:p>
          <w:p w14:paraId="1D22AC42"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L’interdiction de vente à emporter couvre d’une part la </w:t>
            </w:r>
            <w:r>
              <w:rPr>
                <w:rFonts w:ascii="Times New Roman" w:hAnsi="Times New Roman" w:cs="Times New Roman"/>
              </w:rPr>
              <w:t>vente sur la voie publique, mais également le cas d’un bar qui ferait de la vente à emporter depuis l’intérieur de son établissement (dès lors que la vente n’est pas accompagnée d’un repas). Cette mesure ne nécessite aucun acte d’application.</w:t>
            </w:r>
          </w:p>
          <w:p w14:paraId="56373372" w14:textId="77777777" w:rsidR="00757A56" w:rsidRDefault="00757A56">
            <w:pPr>
              <w:spacing w:after="0" w:line="240" w:lineRule="auto"/>
              <w:jc w:val="both"/>
              <w:rPr>
                <w:rFonts w:ascii="Times New Roman" w:hAnsi="Times New Roman" w:cs="Times New Roman"/>
              </w:rPr>
            </w:pPr>
          </w:p>
          <w:p w14:paraId="1EBD8398"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Cette interd</w:t>
            </w:r>
            <w:r>
              <w:rPr>
                <w:rFonts w:ascii="Times New Roman" w:hAnsi="Times New Roman" w:cs="Times New Roman"/>
              </w:rPr>
              <w:t>iction vise la consommation sur la voie publique à l’occasion de rassemblements, en sécurisant juridiquement la base EUS pour permettre de sanctionner les manquements par les sanctions prévues à l’article L.3136-1 du code de la santé publique. Cette mesure</w:t>
            </w:r>
            <w:r>
              <w:rPr>
                <w:rFonts w:ascii="Times New Roman" w:hAnsi="Times New Roman" w:cs="Times New Roman"/>
              </w:rPr>
              <w:t xml:space="preserve"> doit être prise par arrêté préfectoral, le zonage étant à la main du préfet.</w:t>
            </w:r>
          </w:p>
          <w:p w14:paraId="676E1643" w14:textId="77777777" w:rsidR="00757A56" w:rsidRDefault="00757A56">
            <w:pPr>
              <w:spacing w:after="0" w:line="240" w:lineRule="auto"/>
              <w:jc w:val="both"/>
              <w:rPr>
                <w:rFonts w:ascii="Times New Roman" w:hAnsi="Times New Roman" w:cs="Times New Roman"/>
              </w:rPr>
            </w:pPr>
          </w:p>
        </w:tc>
      </w:tr>
      <w:tr w:rsidR="00757A56" w14:paraId="0BCB75DC" w14:textId="77777777">
        <w:tc>
          <w:tcPr>
            <w:tcW w:w="1645" w:type="dxa"/>
            <w:vMerge w:val="restart"/>
            <w:shd w:val="clear" w:color="auto" w:fill="BDD6EE" w:themeFill="accent1" w:themeFillTint="66"/>
            <w:tcMar>
              <w:left w:w="108" w:type="dxa"/>
            </w:tcMar>
            <w:vAlign w:val="center"/>
          </w:tcPr>
          <w:p w14:paraId="42E616F6"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Déplacements</w:t>
            </w:r>
          </w:p>
          <w:p w14:paraId="100BC073"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2DE2B087"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 4 décret du 29/10/2020</w:t>
            </w:r>
          </w:p>
        </w:tc>
        <w:tc>
          <w:tcPr>
            <w:tcW w:w="5518" w:type="dxa"/>
            <w:shd w:val="clear" w:color="auto" w:fill="auto"/>
            <w:tcMar>
              <w:left w:w="108" w:type="dxa"/>
            </w:tcMar>
            <w:vAlign w:val="center"/>
          </w:tcPr>
          <w:p w14:paraId="6C9B0016"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Extension de l’interdiction de déplacement en journée sauf motifs limitativement énumérés à l’ensemble du territoire </w:t>
            </w:r>
            <w:r>
              <w:rPr>
                <w:rFonts w:ascii="Times New Roman" w:hAnsi="Times New Roman" w:cs="Times New Roman"/>
              </w:rPr>
              <w:t>métropolitain</w:t>
            </w:r>
          </w:p>
        </w:tc>
        <w:tc>
          <w:tcPr>
            <w:tcW w:w="5477" w:type="dxa"/>
            <w:shd w:val="clear" w:color="auto" w:fill="auto"/>
            <w:tcMar>
              <w:left w:w="108" w:type="dxa"/>
            </w:tcMar>
            <w:vAlign w:val="center"/>
          </w:tcPr>
          <w:p w14:paraId="115F2C0E" w14:textId="77777777" w:rsidR="00757A56" w:rsidRDefault="00757A56">
            <w:pPr>
              <w:spacing w:after="0" w:line="240" w:lineRule="auto"/>
              <w:jc w:val="both"/>
              <w:rPr>
                <w:rFonts w:ascii="Times New Roman" w:hAnsi="Times New Roman" w:cs="Times New Roman"/>
              </w:rPr>
            </w:pPr>
          </w:p>
          <w:p w14:paraId="0B29C378"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Comme précédemment, l’interdiction de déplacement en journée se combine avec un régime de couvre-feu comportant des motifs plus limités pour sortir de chez soi entre 19 h et 6 h.</w:t>
            </w:r>
          </w:p>
          <w:p w14:paraId="5C3C96C7" w14:textId="77777777" w:rsidR="00757A56" w:rsidRDefault="00757A56">
            <w:pPr>
              <w:spacing w:after="0" w:line="240" w:lineRule="auto"/>
              <w:jc w:val="both"/>
              <w:rPr>
                <w:rFonts w:ascii="Times New Roman" w:hAnsi="Times New Roman" w:cs="Times New Roman"/>
              </w:rPr>
            </w:pPr>
          </w:p>
          <w:p w14:paraId="1B713560"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La plupart des déplacements peuvent s’effectuer sans restrict</w:t>
            </w:r>
            <w:r>
              <w:rPr>
                <w:rFonts w:ascii="Times New Roman" w:hAnsi="Times New Roman" w:cs="Times New Roman"/>
              </w:rPr>
              <w:t xml:space="preserve">ion de distance à l’exception : </w:t>
            </w:r>
          </w:p>
          <w:p w14:paraId="6119589F"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 déplacements pour l’activité physique individuelle ou la promenade en journée qui doivent d’effectuer dans un rayon de 10 km autour du lieu de résidence ; </w:t>
            </w:r>
          </w:p>
          <w:p w14:paraId="2469C72C"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Des déplacements pour les besoins des animaux de compagnie pend</w:t>
            </w:r>
            <w:r>
              <w:rPr>
                <w:rFonts w:ascii="Times New Roman" w:hAnsi="Times New Roman" w:cs="Times New Roman"/>
              </w:rPr>
              <w:t xml:space="preserve">ant le couvre-feu (1 km autour du lieu de résidence) ; </w:t>
            </w:r>
          </w:p>
          <w:p w14:paraId="090A9CAF"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Des déplacements en journée pour effectuer des achats, des retraits de commande, pour se rendre dans un service public, dans un lieu de culte ou dans un lieu ouvert au public (pour des rassemblements,</w:t>
            </w:r>
            <w:r>
              <w:rPr>
                <w:rFonts w:ascii="Times New Roman" w:hAnsi="Times New Roman" w:cs="Times New Roman"/>
              </w:rPr>
              <w:t xml:space="preserve"> réunions ou activités non interdites) qui doivent s’effectuer dans les limites du département de résidence</w:t>
            </w:r>
            <w:r>
              <w:t xml:space="preserve"> </w:t>
            </w:r>
            <w:r>
              <w:rPr>
                <w:rFonts w:ascii="Times New Roman" w:hAnsi="Times New Roman" w:cs="Times New Roman"/>
              </w:rPr>
              <w:t>ou, en dehors de celui-ci, dans un périmètre de 30 kilomètres autour de son domicile.</w:t>
            </w:r>
          </w:p>
          <w:p w14:paraId="772993CD" w14:textId="77777777" w:rsidR="00757A56" w:rsidRDefault="00757A56">
            <w:pPr>
              <w:spacing w:after="0" w:line="240" w:lineRule="auto"/>
              <w:jc w:val="both"/>
              <w:rPr>
                <w:rFonts w:ascii="Times New Roman" w:hAnsi="Times New Roman" w:cs="Times New Roman"/>
              </w:rPr>
            </w:pPr>
          </w:p>
          <w:p w14:paraId="11182273"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Une nouvelle attestation unique a été élaborée et devrait êtr</w:t>
            </w:r>
            <w:r>
              <w:rPr>
                <w:rFonts w:ascii="Times New Roman" w:hAnsi="Times New Roman" w:cs="Times New Roman"/>
              </w:rPr>
              <w:t>e mise en ligne le 3 avril 2021. Elle est valable pour l’ensemble du territoire, de jour comme de nuit.</w:t>
            </w:r>
          </w:p>
          <w:p w14:paraId="65EE5CBC" w14:textId="77777777" w:rsidR="00757A56" w:rsidRDefault="00757A56">
            <w:pPr>
              <w:spacing w:after="0" w:line="240" w:lineRule="auto"/>
              <w:jc w:val="both"/>
              <w:rPr>
                <w:rFonts w:ascii="Times New Roman" w:hAnsi="Times New Roman" w:cs="Times New Roman"/>
              </w:rPr>
            </w:pPr>
          </w:p>
          <w:p w14:paraId="046872AA"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Elle peut être remplacée par un justificatif de domicile pour les déplacements ayant lieu dans un rayon de 10 km autour du lieu de résidence.</w:t>
            </w:r>
          </w:p>
          <w:p w14:paraId="3603997B" w14:textId="77777777" w:rsidR="00757A56" w:rsidRDefault="00757A56">
            <w:pPr>
              <w:spacing w:after="0" w:line="240" w:lineRule="auto"/>
              <w:jc w:val="both"/>
              <w:rPr>
                <w:rFonts w:ascii="Times New Roman" w:hAnsi="Times New Roman" w:cs="Times New Roman"/>
              </w:rPr>
            </w:pPr>
          </w:p>
          <w:p w14:paraId="4323E697"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En ce qu</w:t>
            </w:r>
            <w:r>
              <w:rPr>
                <w:rFonts w:ascii="Times New Roman" w:hAnsi="Times New Roman" w:cs="Times New Roman"/>
              </w:rPr>
              <w:t>i concerne les déplacements depuis le territoire métropolitain vers l’espace Schengen, si l’article 56-5 du décret, qui impose des motifs impérieux pour les déplacements internationaux, n’a pas été modifié, ces déplacements doivent néanmoins entrer dans le</w:t>
            </w:r>
            <w:r>
              <w:rPr>
                <w:rFonts w:ascii="Times New Roman" w:hAnsi="Times New Roman" w:cs="Times New Roman"/>
              </w:rPr>
              <w:t xml:space="preserve">s motifs généraux posés par l’article 4 (motif professionnel, motif familial impérieux…) pour être autorisés. </w:t>
            </w:r>
          </w:p>
          <w:p w14:paraId="5351FFB4"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 </w:t>
            </w:r>
          </w:p>
        </w:tc>
      </w:tr>
      <w:tr w:rsidR="00757A56" w14:paraId="6F28191B" w14:textId="77777777">
        <w:tc>
          <w:tcPr>
            <w:tcW w:w="1645" w:type="dxa"/>
            <w:vMerge/>
            <w:shd w:val="clear" w:color="auto" w:fill="BDD6EE" w:themeFill="accent1" w:themeFillTint="66"/>
            <w:tcMar>
              <w:left w:w="108" w:type="dxa"/>
            </w:tcMar>
          </w:tcPr>
          <w:p w14:paraId="177527C1"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0482DEC0"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55-1 du décret du 29/10/2020</w:t>
            </w:r>
          </w:p>
        </w:tc>
        <w:tc>
          <w:tcPr>
            <w:tcW w:w="5518" w:type="dxa"/>
            <w:shd w:val="clear" w:color="auto" w:fill="auto"/>
            <w:tcMar>
              <w:left w:w="108" w:type="dxa"/>
            </w:tcMar>
            <w:vAlign w:val="center"/>
          </w:tcPr>
          <w:p w14:paraId="2BA811BD"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Ajout d’une tolérance pour les déplacements de longue distance des personnes ayant pour objet de </w:t>
            </w:r>
            <w:r>
              <w:rPr>
                <w:rFonts w:ascii="Times New Roman" w:hAnsi="Times New Roman" w:cs="Times New Roman"/>
              </w:rPr>
              <w:t>rejoindre un lieu de résidence jusqu’au 5 avril 2021 inclus.</w:t>
            </w:r>
          </w:p>
        </w:tc>
        <w:tc>
          <w:tcPr>
            <w:tcW w:w="5477" w:type="dxa"/>
            <w:shd w:val="clear" w:color="auto" w:fill="auto"/>
            <w:tcMar>
              <w:left w:w="108" w:type="dxa"/>
            </w:tcMar>
            <w:vAlign w:val="center"/>
          </w:tcPr>
          <w:p w14:paraId="69BD5D05" w14:textId="77777777" w:rsidR="00757A56" w:rsidRDefault="00757A56">
            <w:pPr>
              <w:spacing w:after="0" w:line="240" w:lineRule="auto"/>
              <w:jc w:val="both"/>
              <w:rPr>
                <w:rFonts w:ascii="Times New Roman" w:hAnsi="Times New Roman" w:cs="Times New Roman"/>
              </w:rPr>
            </w:pPr>
          </w:p>
          <w:p w14:paraId="20A66F19"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Cet article met en œuvre la tolérance annoncée par le Président de la République pour choisir son lieu de confinement pendant le weekend pascal.</w:t>
            </w:r>
          </w:p>
          <w:p w14:paraId="2C00C33D" w14:textId="77777777" w:rsidR="00757A56" w:rsidRDefault="00757A56">
            <w:pPr>
              <w:spacing w:after="0" w:line="240" w:lineRule="auto"/>
              <w:jc w:val="both"/>
              <w:rPr>
                <w:rFonts w:ascii="Times New Roman" w:hAnsi="Times New Roman" w:cs="Times New Roman"/>
              </w:rPr>
            </w:pPr>
          </w:p>
          <w:p w14:paraId="344EB4A2"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Il n’est pas nécessaire de remplir une attestati</w:t>
            </w:r>
            <w:r>
              <w:rPr>
                <w:rFonts w:ascii="Times New Roman" w:hAnsi="Times New Roman" w:cs="Times New Roman"/>
              </w:rPr>
              <w:t>on pour bénéficier de cette dérogation, mais la personne souhaitant en bénéficier doit toutefois démontrer par tout moyen qu’elle entre bien dans ce cadre.</w:t>
            </w:r>
          </w:p>
          <w:p w14:paraId="4A746A8A" w14:textId="77777777" w:rsidR="00757A56" w:rsidRDefault="00757A56">
            <w:pPr>
              <w:spacing w:after="0" w:line="240" w:lineRule="auto"/>
              <w:jc w:val="both"/>
              <w:rPr>
                <w:rFonts w:ascii="Times New Roman" w:hAnsi="Times New Roman" w:cs="Times New Roman"/>
              </w:rPr>
            </w:pPr>
          </w:p>
        </w:tc>
      </w:tr>
      <w:tr w:rsidR="00757A56" w14:paraId="75186FDE" w14:textId="77777777">
        <w:tc>
          <w:tcPr>
            <w:tcW w:w="1645" w:type="dxa"/>
            <w:vMerge/>
            <w:shd w:val="clear" w:color="auto" w:fill="BDD6EE" w:themeFill="accent1" w:themeFillTint="66"/>
            <w:tcMar>
              <w:left w:w="108" w:type="dxa"/>
            </w:tcMar>
          </w:tcPr>
          <w:p w14:paraId="70580D01"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7CF7C44A"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17 du décret du 29/10/2020</w:t>
            </w:r>
          </w:p>
        </w:tc>
        <w:tc>
          <w:tcPr>
            <w:tcW w:w="5518" w:type="dxa"/>
            <w:shd w:val="clear" w:color="auto" w:fill="auto"/>
            <w:tcMar>
              <w:left w:w="108" w:type="dxa"/>
            </w:tcMar>
            <w:vAlign w:val="center"/>
          </w:tcPr>
          <w:p w14:paraId="48323E7F" w14:textId="77777777" w:rsidR="00757A56" w:rsidRDefault="00757A56">
            <w:pPr>
              <w:spacing w:after="0" w:line="240" w:lineRule="auto"/>
              <w:jc w:val="both"/>
              <w:rPr>
                <w:rFonts w:ascii="Times New Roman" w:hAnsi="Times New Roman" w:cs="Times New Roman"/>
              </w:rPr>
            </w:pPr>
          </w:p>
          <w:p w14:paraId="4A947277"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Pour l'accès aux espaces et véhicules de transport </w:t>
            </w:r>
            <w:r>
              <w:rPr>
                <w:rFonts w:ascii="Times New Roman" w:hAnsi="Times New Roman" w:cs="Times New Roman"/>
              </w:rPr>
              <w:t>public collectif de voyageurs, ainsi qu'aux quais des tramways et aux espaces situés à proximité des points d'arrêts desservis par les véhicules de transport routier collectifs de voyageurs, il peut être demandé aux personnes se déplaçant pour l'un des mot</w:t>
            </w:r>
            <w:r>
              <w:rPr>
                <w:rFonts w:ascii="Times New Roman" w:hAnsi="Times New Roman" w:cs="Times New Roman"/>
              </w:rPr>
              <w:t>ifs énumérés aux I et II de l'article 4 de présenter les justificatifs mentionnés au III de ce même article.</w:t>
            </w:r>
          </w:p>
          <w:p w14:paraId="3BF82163"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3925AADB"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Ajustement rédactionnel, pour tenir compte de l’existence à l’article 4 de deux séries de motifs de déplacements (aux I et II) et du fait que les </w:t>
            </w:r>
            <w:r>
              <w:rPr>
                <w:rFonts w:ascii="Times New Roman" w:hAnsi="Times New Roman" w:cs="Times New Roman"/>
              </w:rPr>
              <w:t xml:space="preserve">justificatifs sont désormais mentionnés au III de cet article. </w:t>
            </w:r>
          </w:p>
        </w:tc>
      </w:tr>
      <w:tr w:rsidR="00757A56" w14:paraId="3C4D17E9" w14:textId="77777777">
        <w:tc>
          <w:tcPr>
            <w:tcW w:w="1645" w:type="dxa"/>
            <w:vMerge w:val="restart"/>
            <w:shd w:val="clear" w:color="auto" w:fill="BDD6EE" w:themeFill="accent1" w:themeFillTint="66"/>
            <w:tcMar>
              <w:left w:w="108" w:type="dxa"/>
            </w:tcMar>
            <w:vAlign w:val="center"/>
          </w:tcPr>
          <w:p w14:paraId="45888F75"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Commerces et activités professionnelles</w:t>
            </w:r>
          </w:p>
        </w:tc>
        <w:tc>
          <w:tcPr>
            <w:tcW w:w="1353" w:type="dxa"/>
            <w:shd w:val="clear" w:color="auto" w:fill="D0CECE" w:themeFill="background2" w:themeFillShade="E6"/>
            <w:tcMar>
              <w:left w:w="108" w:type="dxa"/>
            </w:tcMar>
            <w:vAlign w:val="center"/>
          </w:tcPr>
          <w:p w14:paraId="22F4666E"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4-1 du décret du 29/10/2020</w:t>
            </w:r>
          </w:p>
        </w:tc>
        <w:tc>
          <w:tcPr>
            <w:tcW w:w="5518" w:type="dxa"/>
            <w:shd w:val="clear" w:color="auto" w:fill="auto"/>
            <w:tcMar>
              <w:left w:w="108" w:type="dxa"/>
            </w:tcMar>
            <w:vAlign w:val="center"/>
          </w:tcPr>
          <w:p w14:paraId="150A4528"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Restriction des activités autorisées au domicile des particuliers.</w:t>
            </w:r>
          </w:p>
        </w:tc>
        <w:tc>
          <w:tcPr>
            <w:tcW w:w="5477" w:type="dxa"/>
            <w:shd w:val="clear" w:color="auto" w:fill="auto"/>
            <w:tcMar>
              <w:left w:w="108" w:type="dxa"/>
            </w:tcMar>
            <w:vAlign w:val="center"/>
          </w:tcPr>
          <w:p w14:paraId="460BD60A" w14:textId="77777777" w:rsidR="00757A56" w:rsidRDefault="00757A56">
            <w:pPr>
              <w:spacing w:after="0" w:line="240" w:lineRule="auto"/>
              <w:jc w:val="both"/>
              <w:rPr>
                <w:rFonts w:ascii="Times New Roman" w:hAnsi="Times New Roman" w:cs="Times New Roman"/>
              </w:rPr>
            </w:pPr>
          </w:p>
          <w:p w14:paraId="4F1F148D"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Il s’agit d’une reprise d’une mesure qui existait lors du confinement d’octobre. </w:t>
            </w:r>
          </w:p>
          <w:p w14:paraId="766433AB" w14:textId="77777777" w:rsidR="00757A56" w:rsidRDefault="00757A56">
            <w:pPr>
              <w:spacing w:after="0" w:line="240" w:lineRule="auto"/>
              <w:jc w:val="both"/>
              <w:rPr>
                <w:rFonts w:ascii="Times New Roman" w:hAnsi="Times New Roman" w:cs="Times New Roman"/>
              </w:rPr>
            </w:pPr>
          </w:p>
          <w:p w14:paraId="7D1F2E23"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Seules les activités de services à la personne (mentionnées à l'article D. 7231-1 du code du travail), ainsi que les activités à caractère commercial, sportif ou artistique </w:t>
            </w:r>
            <w:r>
              <w:rPr>
                <w:rFonts w:ascii="Times New Roman" w:hAnsi="Times New Roman" w:cs="Times New Roman"/>
              </w:rPr>
              <w:t>qui sont autorisées en ERP sont également autorisées au domicile des particuliers, entre 6h et 19 h (sauf urgence, livraison, assistance aux personnes vulnérables ou précaires ou garde d’enfant).</w:t>
            </w:r>
          </w:p>
          <w:p w14:paraId="303A0135" w14:textId="77777777" w:rsidR="00757A56" w:rsidRDefault="00757A56">
            <w:pPr>
              <w:spacing w:after="0" w:line="240" w:lineRule="auto"/>
              <w:jc w:val="both"/>
              <w:rPr>
                <w:rFonts w:ascii="Times New Roman" w:hAnsi="Times New Roman" w:cs="Times New Roman"/>
              </w:rPr>
            </w:pPr>
          </w:p>
        </w:tc>
      </w:tr>
      <w:tr w:rsidR="00757A56" w14:paraId="34571F8F" w14:textId="77777777">
        <w:tc>
          <w:tcPr>
            <w:tcW w:w="1645" w:type="dxa"/>
            <w:vMerge/>
            <w:shd w:val="clear" w:color="auto" w:fill="BDD6EE" w:themeFill="accent1" w:themeFillTint="66"/>
            <w:tcMar>
              <w:left w:w="108" w:type="dxa"/>
            </w:tcMar>
          </w:tcPr>
          <w:p w14:paraId="749B0E52"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7B816755"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28 du décret du 29/10/2020</w:t>
            </w:r>
          </w:p>
        </w:tc>
        <w:tc>
          <w:tcPr>
            <w:tcW w:w="5518" w:type="dxa"/>
            <w:shd w:val="clear" w:color="auto" w:fill="auto"/>
            <w:tcMar>
              <w:left w:w="108" w:type="dxa"/>
            </w:tcMar>
            <w:vAlign w:val="center"/>
          </w:tcPr>
          <w:p w14:paraId="2E661859" w14:textId="77777777" w:rsidR="00757A56" w:rsidRDefault="00757A56">
            <w:pPr>
              <w:spacing w:after="0" w:line="240" w:lineRule="auto"/>
              <w:jc w:val="both"/>
              <w:rPr>
                <w:rFonts w:ascii="Times New Roman" w:hAnsi="Times New Roman" w:cs="Times New Roman"/>
              </w:rPr>
            </w:pPr>
          </w:p>
          <w:p w14:paraId="1DC0DA89"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Suppression des agences de gestion ou de transaction immobilières de la liste de l’article 28. Ces dernières y avaient été ajoutées lors de l’allègement du confinement de novembre, par symétrie avec le fait que l’activité correspondante redevenait possible</w:t>
            </w:r>
            <w:r>
              <w:rPr>
                <w:rFonts w:ascii="Times New Roman" w:hAnsi="Times New Roman" w:cs="Times New Roman"/>
              </w:rPr>
              <w:t xml:space="preserve"> dans les ERP de type commerce.</w:t>
            </w:r>
          </w:p>
          <w:p w14:paraId="0A8C8932"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4C780B52"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Les agences immobilières ne peuvent recevoir de public, mais les visites de biens sont toutefois possibles dans le respect du protocole élaboré à cet effet. </w:t>
            </w:r>
          </w:p>
        </w:tc>
      </w:tr>
      <w:tr w:rsidR="00757A56" w14:paraId="06C03660" w14:textId="77777777">
        <w:tc>
          <w:tcPr>
            <w:tcW w:w="1645" w:type="dxa"/>
            <w:vMerge/>
            <w:shd w:val="clear" w:color="auto" w:fill="BDD6EE" w:themeFill="accent1" w:themeFillTint="66"/>
            <w:tcMar>
              <w:left w:w="108" w:type="dxa"/>
            </w:tcMar>
          </w:tcPr>
          <w:p w14:paraId="0D627177"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14A7A4C5"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37 du décret du 29/10/2020</w:t>
            </w:r>
          </w:p>
        </w:tc>
        <w:tc>
          <w:tcPr>
            <w:tcW w:w="5518" w:type="dxa"/>
            <w:shd w:val="clear" w:color="auto" w:fill="auto"/>
            <w:tcMar>
              <w:left w:w="108" w:type="dxa"/>
            </w:tcMar>
            <w:vAlign w:val="center"/>
          </w:tcPr>
          <w:p w14:paraId="7E68D86E"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Coordination </w:t>
            </w:r>
            <w:r>
              <w:rPr>
                <w:rFonts w:ascii="Times New Roman" w:hAnsi="Times New Roman" w:cs="Times New Roman"/>
              </w:rPr>
              <w:t>rédactionnelle pour tenir compte du fait que les mesures renforcées s’appliquent à l’ensemble du territoire métropolitain (suppression du renvoi à l’annexe 2)</w:t>
            </w:r>
          </w:p>
        </w:tc>
        <w:tc>
          <w:tcPr>
            <w:tcW w:w="5477" w:type="dxa"/>
            <w:shd w:val="clear" w:color="auto" w:fill="auto"/>
            <w:tcMar>
              <w:left w:w="108" w:type="dxa"/>
            </w:tcMar>
            <w:vAlign w:val="center"/>
          </w:tcPr>
          <w:p w14:paraId="1743DD03"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La réduction du seuil de fermeture des centres commerciaux et commerces isolés au regard de leur </w:t>
            </w:r>
            <w:r>
              <w:rPr>
                <w:rFonts w:ascii="Times New Roman" w:hAnsi="Times New Roman" w:cs="Times New Roman"/>
              </w:rPr>
              <w:t>superficie n’est pas prévue dans le décret, elle doit toujours être prise par arrêté préfectoral.</w:t>
            </w:r>
          </w:p>
          <w:p w14:paraId="2182890B" w14:textId="77777777" w:rsidR="00757A56" w:rsidRDefault="00757A56">
            <w:pPr>
              <w:spacing w:after="0" w:line="240" w:lineRule="auto"/>
              <w:jc w:val="both"/>
              <w:rPr>
                <w:rFonts w:ascii="Times New Roman" w:hAnsi="Times New Roman" w:cs="Times New Roman"/>
              </w:rPr>
            </w:pPr>
          </w:p>
          <w:p w14:paraId="27D03361"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lastRenderedPageBreak/>
              <w:t xml:space="preserve">Il est préconisé d’abaisser ce seuil à 10 000 m² dans l’ensemble des départements, avec une dérogation permettant l’accès des professionnels aux magasins de </w:t>
            </w:r>
            <w:r>
              <w:rPr>
                <w:rFonts w:ascii="Times New Roman" w:hAnsi="Times New Roman" w:cs="Times New Roman"/>
              </w:rPr>
              <w:t>bricolages.</w:t>
            </w:r>
          </w:p>
          <w:p w14:paraId="794FD58B" w14:textId="77777777" w:rsidR="00757A56" w:rsidRDefault="00757A56">
            <w:pPr>
              <w:spacing w:after="0" w:line="240" w:lineRule="auto"/>
              <w:jc w:val="both"/>
              <w:rPr>
                <w:rFonts w:ascii="Times New Roman" w:hAnsi="Times New Roman" w:cs="Times New Roman"/>
              </w:rPr>
            </w:pPr>
          </w:p>
        </w:tc>
      </w:tr>
      <w:tr w:rsidR="00757A56" w14:paraId="63A03699" w14:textId="77777777">
        <w:tc>
          <w:tcPr>
            <w:tcW w:w="1645" w:type="dxa"/>
            <w:vMerge/>
            <w:shd w:val="clear" w:color="auto" w:fill="BDD6EE" w:themeFill="accent1" w:themeFillTint="66"/>
            <w:tcMar>
              <w:left w:w="108" w:type="dxa"/>
            </w:tcMar>
          </w:tcPr>
          <w:p w14:paraId="16F2C48A"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7A6A966E"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38 du décret du 29/10/2020</w:t>
            </w:r>
          </w:p>
        </w:tc>
        <w:tc>
          <w:tcPr>
            <w:tcW w:w="5518" w:type="dxa"/>
            <w:shd w:val="clear" w:color="auto" w:fill="auto"/>
            <w:tcMar>
              <w:left w:w="108" w:type="dxa"/>
            </w:tcMar>
            <w:vAlign w:val="center"/>
          </w:tcPr>
          <w:p w14:paraId="6619F1EB" w14:textId="77777777" w:rsidR="00757A56" w:rsidRDefault="00757A56">
            <w:pPr>
              <w:spacing w:after="0" w:line="240" w:lineRule="auto"/>
              <w:jc w:val="both"/>
              <w:rPr>
                <w:rFonts w:ascii="Times New Roman" w:hAnsi="Times New Roman" w:cs="Times New Roman"/>
              </w:rPr>
            </w:pPr>
          </w:p>
          <w:p w14:paraId="0C62BD3C"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Autorisation des seuls commerces alimentaires et proposant la vente de plantes ou assimilées dans les marchés couverts et ouverts.</w:t>
            </w:r>
          </w:p>
          <w:p w14:paraId="430259C0"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4C39E202"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Retour à la rédaction applicable lors des premiers confinements. Les marc</w:t>
            </w:r>
            <w:r>
              <w:rPr>
                <w:rFonts w:ascii="Times New Roman" w:hAnsi="Times New Roman" w:cs="Times New Roman"/>
              </w:rPr>
              <w:t xml:space="preserve">hés non alimentaires sont donc interdits. </w:t>
            </w:r>
          </w:p>
        </w:tc>
      </w:tr>
      <w:tr w:rsidR="00757A56" w14:paraId="43359894" w14:textId="77777777">
        <w:tc>
          <w:tcPr>
            <w:tcW w:w="1645" w:type="dxa"/>
            <w:vMerge w:val="restart"/>
            <w:shd w:val="clear" w:color="auto" w:fill="BDD6EE" w:themeFill="accent1" w:themeFillTint="66"/>
            <w:tcMar>
              <w:left w:w="108" w:type="dxa"/>
            </w:tcMar>
            <w:vAlign w:val="center"/>
          </w:tcPr>
          <w:p w14:paraId="145B7D8D"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Activités scolaires, périscolaires et extrascolaires</w:t>
            </w:r>
          </w:p>
        </w:tc>
        <w:tc>
          <w:tcPr>
            <w:tcW w:w="1353" w:type="dxa"/>
            <w:shd w:val="clear" w:color="auto" w:fill="D0CECE" w:themeFill="background2" w:themeFillShade="E6"/>
            <w:tcMar>
              <w:left w:w="108" w:type="dxa"/>
            </w:tcMar>
            <w:vAlign w:val="center"/>
          </w:tcPr>
          <w:p w14:paraId="14EC4844"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32 du décret du 29/10/2020</w:t>
            </w:r>
          </w:p>
        </w:tc>
        <w:tc>
          <w:tcPr>
            <w:tcW w:w="5518" w:type="dxa"/>
            <w:shd w:val="clear" w:color="auto" w:fill="auto"/>
            <w:tcMar>
              <w:left w:w="108" w:type="dxa"/>
            </w:tcMar>
            <w:vAlign w:val="center"/>
          </w:tcPr>
          <w:p w14:paraId="479D1B77" w14:textId="77777777" w:rsidR="00757A56" w:rsidRDefault="00757A56">
            <w:pPr>
              <w:spacing w:after="0" w:line="240" w:lineRule="auto"/>
              <w:jc w:val="both"/>
              <w:rPr>
                <w:rFonts w:ascii="Times New Roman" w:hAnsi="Times New Roman" w:cs="Times New Roman"/>
              </w:rPr>
            </w:pPr>
          </w:p>
          <w:p w14:paraId="713377FF"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Suspension de l’accueil des enfants dans les crèches et, au-delà de 10 places dans les maisons </w:t>
            </w:r>
            <w:r>
              <w:rPr>
                <w:rFonts w:ascii="Times New Roman" w:hAnsi="Times New Roman" w:cs="Times New Roman"/>
              </w:rPr>
              <w:t>d’assistants-maternels, à l’exception des structures qui sont attachées à des établissements de santé et à des établissements sociaux et médico sociaux (I), ainsi que des micro-crèches.</w:t>
            </w:r>
          </w:p>
          <w:p w14:paraId="5E8F74AF" w14:textId="77777777" w:rsidR="00757A56" w:rsidRDefault="00757A56">
            <w:pPr>
              <w:spacing w:after="0" w:line="240" w:lineRule="auto"/>
              <w:jc w:val="both"/>
              <w:rPr>
                <w:rFonts w:ascii="Times New Roman" w:hAnsi="Times New Roman" w:cs="Times New Roman"/>
              </w:rPr>
            </w:pPr>
          </w:p>
          <w:p w14:paraId="407C51F0"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Suspension de l’accueil des enfants dans les accueils collectifs de m</w:t>
            </w:r>
            <w:r>
              <w:rPr>
                <w:rFonts w:ascii="Times New Roman" w:hAnsi="Times New Roman" w:cs="Times New Roman"/>
              </w:rPr>
              <w:t>ineurs (II).</w:t>
            </w:r>
          </w:p>
          <w:p w14:paraId="7C604165" w14:textId="77777777" w:rsidR="00757A56" w:rsidRDefault="00757A56">
            <w:pPr>
              <w:spacing w:after="0" w:line="240" w:lineRule="auto"/>
              <w:jc w:val="both"/>
              <w:rPr>
                <w:rFonts w:ascii="Times New Roman" w:hAnsi="Times New Roman" w:cs="Times New Roman"/>
              </w:rPr>
            </w:pPr>
          </w:p>
          <w:p w14:paraId="13B9BE66"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Dérogation à ces suspensions pour les enfants de moins de 16 ans des personnels indispensables à la gestion de la crise sanitaire (II bis).</w:t>
            </w:r>
          </w:p>
          <w:p w14:paraId="57CA0886" w14:textId="77777777" w:rsidR="00757A56" w:rsidRDefault="00757A56">
            <w:pPr>
              <w:spacing w:after="0" w:line="240" w:lineRule="auto"/>
              <w:jc w:val="both"/>
              <w:rPr>
                <w:rFonts w:ascii="Times New Roman" w:hAnsi="Times New Roman" w:cs="Times New Roman"/>
              </w:rPr>
            </w:pPr>
          </w:p>
          <w:p w14:paraId="7CB5E2BB"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Maintien des accueils existants pour les enfants de l’ASE et les personnes en situation de handicap d</w:t>
            </w:r>
            <w:r>
              <w:rPr>
                <w:rFonts w:ascii="Times New Roman" w:hAnsi="Times New Roman" w:cs="Times New Roman"/>
              </w:rPr>
              <w:t>ans les structures spécialisées (III et IV).</w:t>
            </w:r>
          </w:p>
          <w:p w14:paraId="68C808E8"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5D0A988D"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La suspension est effective jusqu’au 25 avril 2021 inclus.</w:t>
            </w:r>
          </w:p>
          <w:p w14:paraId="7A8B451E" w14:textId="77777777" w:rsidR="00757A56" w:rsidRDefault="00757A56">
            <w:pPr>
              <w:spacing w:after="0" w:line="240" w:lineRule="auto"/>
              <w:jc w:val="both"/>
              <w:rPr>
                <w:rFonts w:ascii="Times New Roman" w:hAnsi="Times New Roman" w:cs="Times New Roman"/>
              </w:rPr>
            </w:pPr>
          </w:p>
          <w:p w14:paraId="4BE77F51"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La liste des personnels indispensables à la gestion de crise et prioritaires pour l’accueil des enfants sera diffusée par ailleurs.</w:t>
            </w:r>
          </w:p>
          <w:p w14:paraId="0B0C242A" w14:textId="77777777" w:rsidR="00757A56" w:rsidRDefault="00757A56">
            <w:pPr>
              <w:spacing w:after="0" w:line="240" w:lineRule="auto"/>
              <w:jc w:val="both"/>
              <w:rPr>
                <w:rFonts w:ascii="Times New Roman" w:hAnsi="Times New Roman" w:cs="Times New Roman"/>
              </w:rPr>
            </w:pPr>
          </w:p>
          <w:p w14:paraId="6BD41BA6"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Les sapeurs-pompiers professionnels et les policiers municipaux ont été ajoutés à la liste parue et diffusée par l'éducation nationale hier. </w:t>
            </w:r>
          </w:p>
        </w:tc>
      </w:tr>
      <w:tr w:rsidR="00757A56" w14:paraId="10DDB30B" w14:textId="77777777">
        <w:tc>
          <w:tcPr>
            <w:tcW w:w="1645" w:type="dxa"/>
            <w:vMerge/>
            <w:shd w:val="clear" w:color="auto" w:fill="BDD6EE" w:themeFill="accent1" w:themeFillTint="66"/>
            <w:tcMar>
              <w:left w:w="108" w:type="dxa"/>
            </w:tcMar>
          </w:tcPr>
          <w:p w14:paraId="7A2B478B"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6964A145"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33 du décret du 29/10/2020</w:t>
            </w:r>
          </w:p>
        </w:tc>
        <w:tc>
          <w:tcPr>
            <w:tcW w:w="5518" w:type="dxa"/>
            <w:shd w:val="clear" w:color="auto" w:fill="auto"/>
            <w:tcMar>
              <w:left w:w="108" w:type="dxa"/>
            </w:tcMar>
            <w:vAlign w:val="center"/>
          </w:tcPr>
          <w:p w14:paraId="548BC4FB" w14:textId="77777777" w:rsidR="00757A56" w:rsidRDefault="00757A56">
            <w:pPr>
              <w:spacing w:after="0" w:line="240" w:lineRule="auto"/>
              <w:jc w:val="both"/>
              <w:rPr>
                <w:rFonts w:ascii="Times New Roman" w:hAnsi="Times New Roman" w:cs="Times New Roman"/>
              </w:rPr>
            </w:pPr>
          </w:p>
          <w:p w14:paraId="1110C720"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Suspension de l’accueil des enfants dans écoles, collèges, lycées, ainsi que</w:t>
            </w:r>
            <w:r>
              <w:rPr>
                <w:rFonts w:ascii="Times New Roman" w:hAnsi="Times New Roman" w:cs="Times New Roman"/>
              </w:rPr>
              <w:t xml:space="preserve"> dans les classes correspondantes des établissements d’enseignement privé et les centres de formation d’apprentis.</w:t>
            </w:r>
          </w:p>
          <w:p w14:paraId="4BB3C65B" w14:textId="77777777" w:rsidR="00757A56" w:rsidRDefault="00757A56">
            <w:pPr>
              <w:spacing w:after="0" w:line="240" w:lineRule="auto"/>
              <w:jc w:val="both"/>
              <w:rPr>
                <w:rFonts w:ascii="Times New Roman" w:hAnsi="Times New Roman" w:cs="Times New Roman"/>
              </w:rPr>
            </w:pPr>
          </w:p>
          <w:p w14:paraId="4ACD5F95"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lastRenderedPageBreak/>
              <w:t>Dérogation à ces suspensions pour les enfants de moins de 16 ans des personnels indispensables à la gestion de la crise sanitaire pendant le</w:t>
            </w:r>
            <w:r>
              <w:rPr>
                <w:rFonts w:ascii="Times New Roman" w:hAnsi="Times New Roman" w:cs="Times New Roman"/>
              </w:rPr>
              <w:t xml:space="preserve"> temps scolaire dans les conditions définies à l’article 36.</w:t>
            </w:r>
          </w:p>
          <w:p w14:paraId="43D8BEC1" w14:textId="77777777" w:rsidR="00757A56" w:rsidRDefault="00757A56">
            <w:pPr>
              <w:spacing w:after="0" w:line="240" w:lineRule="auto"/>
              <w:jc w:val="both"/>
              <w:rPr>
                <w:rFonts w:ascii="Times New Roman" w:hAnsi="Times New Roman" w:cs="Times New Roman"/>
              </w:rPr>
            </w:pPr>
          </w:p>
          <w:p w14:paraId="6D1AD3F8"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Possibilité d’accueillir les élèves et leurs responsables légaux à titre individuel et sur convocation.</w:t>
            </w:r>
          </w:p>
          <w:p w14:paraId="3942B37A" w14:textId="77777777" w:rsidR="00757A56" w:rsidRDefault="00757A56">
            <w:pPr>
              <w:spacing w:after="0" w:line="240" w:lineRule="auto"/>
              <w:jc w:val="both"/>
              <w:rPr>
                <w:rFonts w:ascii="Times New Roman" w:hAnsi="Times New Roman" w:cs="Times New Roman"/>
              </w:rPr>
            </w:pPr>
          </w:p>
          <w:p w14:paraId="4EEC15D4"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Maintien des prestations d’hébergement pour les usagers qui doivent se présenter aux épre</w:t>
            </w:r>
            <w:r>
              <w:rPr>
                <w:rFonts w:ascii="Times New Roman" w:hAnsi="Times New Roman" w:cs="Times New Roman"/>
              </w:rPr>
              <w:t>uves d’un concours ou sont dans l'incapacité de rejoindre leur domicile.</w:t>
            </w:r>
          </w:p>
          <w:p w14:paraId="520E3CEF"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07446B47"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lastRenderedPageBreak/>
              <w:t xml:space="preserve">La suspension est effective : </w:t>
            </w:r>
          </w:p>
          <w:p w14:paraId="66D43D16" w14:textId="77777777" w:rsidR="00757A56" w:rsidRDefault="00757A56">
            <w:pPr>
              <w:spacing w:after="0" w:line="240" w:lineRule="auto"/>
              <w:jc w:val="both"/>
              <w:rPr>
                <w:rFonts w:ascii="Times New Roman" w:hAnsi="Times New Roman" w:cs="Times New Roman"/>
              </w:rPr>
            </w:pPr>
          </w:p>
          <w:p w14:paraId="77385AF7"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Jusqu’au 25 avril 2021 inclus dans les écoles maternelles et élémentaires ainsi que dans les classes correspondantes des établissements </w:t>
            </w:r>
            <w:r>
              <w:rPr>
                <w:rFonts w:ascii="Times New Roman" w:hAnsi="Times New Roman" w:cs="Times New Roman"/>
              </w:rPr>
              <w:t>d'enseignement privés ;</w:t>
            </w:r>
          </w:p>
          <w:p w14:paraId="4806BE1A"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 xml:space="preserve"> Jusqu’au 2 mai 2021 inclus dans les collèges et les lycées, ainsi que dans les classes correspondantes des établissements d'enseignement privés ;</w:t>
            </w:r>
          </w:p>
          <w:p w14:paraId="45B7B566" w14:textId="77777777" w:rsidR="00757A56" w:rsidRDefault="00757A56">
            <w:pPr>
              <w:pStyle w:val="Paragraphedeliste"/>
              <w:spacing w:after="0" w:line="240" w:lineRule="auto"/>
              <w:jc w:val="both"/>
              <w:rPr>
                <w:rFonts w:ascii="Times New Roman" w:hAnsi="Times New Roman" w:cs="Times New Roman"/>
              </w:rPr>
            </w:pPr>
          </w:p>
          <w:p w14:paraId="33B6EE9C" w14:textId="77777777" w:rsidR="00757A56" w:rsidRDefault="00C63D1A">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Jusqu’au 2 mai 2021 inclus dans les centres de formation d'apprentis mentionnés à l'</w:t>
            </w:r>
            <w:r>
              <w:rPr>
                <w:rFonts w:ascii="Times New Roman" w:hAnsi="Times New Roman" w:cs="Times New Roman"/>
              </w:rPr>
              <w:t>article L. 431-1 du code de l'éducation. Ces établissements peuvent toutefois, à compter du 12 avril 2021, accueillir les usagers pour les formations qui ne peuvent être dispensées à distance.</w:t>
            </w:r>
          </w:p>
          <w:p w14:paraId="0BECA760" w14:textId="77777777" w:rsidR="00757A56" w:rsidRDefault="00757A56">
            <w:pPr>
              <w:tabs>
                <w:tab w:val="left" w:pos="1725"/>
              </w:tabs>
              <w:spacing w:after="0" w:line="240" w:lineRule="auto"/>
              <w:jc w:val="both"/>
              <w:rPr>
                <w:rFonts w:ascii="Times New Roman" w:hAnsi="Times New Roman" w:cs="Times New Roman"/>
              </w:rPr>
            </w:pPr>
          </w:p>
        </w:tc>
      </w:tr>
      <w:tr w:rsidR="00757A56" w14:paraId="411CAB59" w14:textId="77777777">
        <w:tc>
          <w:tcPr>
            <w:tcW w:w="1645" w:type="dxa"/>
            <w:vMerge/>
            <w:shd w:val="clear" w:color="auto" w:fill="BDD6EE" w:themeFill="accent1" w:themeFillTint="66"/>
            <w:tcMar>
              <w:left w:w="108" w:type="dxa"/>
            </w:tcMar>
          </w:tcPr>
          <w:p w14:paraId="242A6412"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094DCD6D"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34 du décret du 29/10/2020</w:t>
            </w:r>
          </w:p>
        </w:tc>
        <w:tc>
          <w:tcPr>
            <w:tcW w:w="5518" w:type="dxa"/>
            <w:shd w:val="clear" w:color="auto" w:fill="auto"/>
            <w:tcMar>
              <w:left w:w="108" w:type="dxa"/>
            </w:tcMar>
            <w:vAlign w:val="center"/>
          </w:tcPr>
          <w:p w14:paraId="08CE7BA2" w14:textId="77777777" w:rsidR="00757A56" w:rsidRDefault="00757A56">
            <w:pPr>
              <w:spacing w:after="0" w:line="240" w:lineRule="auto"/>
              <w:jc w:val="both"/>
              <w:rPr>
                <w:rFonts w:ascii="Times New Roman" w:hAnsi="Times New Roman" w:cs="Times New Roman"/>
              </w:rPr>
            </w:pPr>
          </w:p>
          <w:p w14:paraId="7469AFB1"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Principe </w:t>
            </w:r>
            <w:r>
              <w:rPr>
                <w:rFonts w:ascii="Times New Roman" w:hAnsi="Times New Roman" w:cs="Times New Roman"/>
              </w:rPr>
              <w:t>d’organisation à distance des examens par les établissements mentionnés à l’article 34, sauf pour la délivrance des diplômes sanctionnant les formations de santé.</w:t>
            </w:r>
          </w:p>
          <w:p w14:paraId="15862233"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55DAAC9B"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Cette disposition est en vigueur jusqu’au 2 mai 2021 inclus.</w:t>
            </w:r>
          </w:p>
        </w:tc>
      </w:tr>
      <w:tr w:rsidR="00757A56" w14:paraId="0B7717AE" w14:textId="77777777">
        <w:tc>
          <w:tcPr>
            <w:tcW w:w="1645" w:type="dxa"/>
            <w:vMerge/>
            <w:shd w:val="clear" w:color="auto" w:fill="BDD6EE" w:themeFill="accent1" w:themeFillTint="66"/>
            <w:tcMar>
              <w:left w:w="108" w:type="dxa"/>
            </w:tcMar>
          </w:tcPr>
          <w:p w14:paraId="03E64489"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33DFEF06"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35 du décret du 29/10</w:t>
            </w:r>
            <w:r>
              <w:rPr>
                <w:rFonts w:ascii="Times New Roman" w:hAnsi="Times New Roman" w:cs="Times New Roman"/>
              </w:rPr>
              <w:t>/2020</w:t>
            </w:r>
          </w:p>
        </w:tc>
        <w:tc>
          <w:tcPr>
            <w:tcW w:w="5518" w:type="dxa"/>
            <w:shd w:val="clear" w:color="auto" w:fill="auto"/>
            <w:tcMar>
              <w:left w:w="108" w:type="dxa"/>
            </w:tcMar>
            <w:vAlign w:val="center"/>
          </w:tcPr>
          <w:p w14:paraId="30E175F3" w14:textId="77777777" w:rsidR="00757A56" w:rsidRDefault="00757A56">
            <w:pPr>
              <w:spacing w:after="0" w:line="240" w:lineRule="auto"/>
              <w:jc w:val="both"/>
              <w:rPr>
                <w:rFonts w:ascii="Times New Roman" w:hAnsi="Times New Roman" w:cs="Times New Roman"/>
              </w:rPr>
            </w:pPr>
          </w:p>
          <w:p w14:paraId="5476AAAA"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Suspension de l’accueil du public dans les classes CHAM, ainsi que pour les élèves scolarisés en série technologique sciences et techniques du théâtre, de la musique et de la danse. Ces classes peuvent toutefois peuvent accueillir les élèves inscrit</w:t>
            </w:r>
            <w:r>
              <w:rPr>
                <w:rFonts w:ascii="Times New Roman" w:hAnsi="Times New Roman" w:cs="Times New Roman"/>
              </w:rPr>
              <w:t>s en troisième cycle.</w:t>
            </w:r>
          </w:p>
          <w:p w14:paraId="677E2F38" w14:textId="77777777" w:rsidR="00757A56" w:rsidRDefault="00757A56">
            <w:pPr>
              <w:spacing w:after="0" w:line="240" w:lineRule="auto"/>
              <w:jc w:val="both"/>
              <w:rPr>
                <w:rFonts w:ascii="Times New Roman" w:hAnsi="Times New Roman" w:cs="Times New Roman"/>
              </w:rPr>
            </w:pPr>
          </w:p>
          <w:p w14:paraId="6EE67406"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Les conservatoires territoriaux sont fermés en ce qui concerne l’accueil des enfants et adolescents (premier et deuxième cycles).</w:t>
            </w:r>
          </w:p>
          <w:p w14:paraId="19FDED9D"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3D915503"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RAS</w:t>
            </w:r>
          </w:p>
        </w:tc>
      </w:tr>
      <w:tr w:rsidR="00757A56" w14:paraId="11B3C5C5" w14:textId="77777777">
        <w:tc>
          <w:tcPr>
            <w:tcW w:w="1645" w:type="dxa"/>
            <w:vMerge/>
            <w:shd w:val="clear" w:color="auto" w:fill="BDD6EE" w:themeFill="accent1" w:themeFillTint="66"/>
            <w:tcMar>
              <w:left w:w="108" w:type="dxa"/>
            </w:tcMar>
          </w:tcPr>
          <w:p w14:paraId="72D41B8A"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4E317937" w14:textId="77777777" w:rsidR="00757A56" w:rsidRDefault="00757A56">
            <w:pPr>
              <w:spacing w:after="0" w:line="240" w:lineRule="auto"/>
              <w:jc w:val="center"/>
              <w:rPr>
                <w:rFonts w:ascii="Times New Roman" w:hAnsi="Times New Roman" w:cs="Times New Roman"/>
              </w:rPr>
            </w:pPr>
          </w:p>
          <w:p w14:paraId="5B040507"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36 du décret du 29/10/2020</w:t>
            </w:r>
          </w:p>
          <w:p w14:paraId="4441B369" w14:textId="77777777" w:rsidR="00757A56" w:rsidRDefault="00757A56">
            <w:pPr>
              <w:spacing w:after="0" w:line="240" w:lineRule="auto"/>
              <w:jc w:val="center"/>
              <w:rPr>
                <w:rFonts w:ascii="Times New Roman" w:hAnsi="Times New Roman" w:cs="Times New Roman"/>
              </w:rPr>
            </w:pPr>
          </w:p>
        </w:tc>
        <w:tc>
          <w:tcPr>
            <w:tcW w:w="5518" w:type="dxa"/>
            <w:shd w:val="clear" w:color="auto" w:fill="auto"/>
            <w:tcMar>
              <w:left w:w="108" w:type="dxa"/>
            </w:tcMar>
            <w:vAlign w:val="center"/>
          </w:tcPr>
          <w:p w14:paraId="278CA321"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Ajustements de coordination compte tenu des </w:t>
            </w:r>
            <w:r>
              <w:rPr>
                <w:rFonts w:ascii="Times New Roman" w:hAnsi="Times New Roman" w:cs="Times New Roman"/>
              </w:rPr>
              <w:t>modifications apportées à l’article 32.</w:t>
            </w:r>
          </w:p>
        </w:tc>
        <w:tc>
          <w:tcPr>
            <w:tcW w:w="5477" w:type="dxa"/>
            <w:shd w:val="clear" w:color="auto" w:fill="auto"/>
            <w:tcMar>
              <w:left w:w="108" w:type="dxa"/>
            </w:tcMar>
            <w:vAlign w:val="center"/>
          </w:tcPr>
          <w:p w14:paraId="595AF69D"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RAS</w:t>
            </w:r>
          </w:p>
        </w:tc>
      </w:tr>
      <w:tr w:rsidR="00757A56" w14:paraId="195985EA" w14:textId="77777777">
        <w:tc>
          <w:tcPr>
            <w:tcW w:w="1645" w:type="dxa"/>
            <w:vMerge/>
            <w:shd w:val="clear" w:color="auto" w:fill="BDD6EE" w:themeFill="accent1" w:themeFillTint="66"/>
            <w:tcMar>
              <w:left w:w="108" w:type="dxa"/>
            </w:tcMar>
          </w:tcPr>
          <w:p w14:paraId="38B6DD26" w14:textId="77777777" w:rsidR="00757A56" w:rsidRDefault="00757A56">
            <w:pPr>
              <w:spacing w:after="0" w:line="240" w:lineRule="auto"/>
              <w:jc w:val="center"/>
              <w:rPr>
                <w:rFonts w:ascii="Times New Roman" w:hAnsi="Times New Roman" w:cs="Times New Roman"/>
              </w:rPr>
            </w:pPr>
          </w:p>
        </w:tc>
        <w:tc>
          <w:tcPr>
            <w:tcW w:w="1353" w:type="dxa"/>
            <w:shd w:val="clear" w:color="auto" w:fill="D0CECE" w:themeFill="background2" w:themeFillShade="E6"/>
            <w:tcMar>
              <w:left w:w="108" w:type="dxa"/>
            </w:tcMar>
            <w:vAlign w:val="center"/>
          </w:tcPr>
          <w:p w14:paraId="5A4ED8B0"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42 et 45 du décret du 29/10/2020</w:t>
            </w:r>
          </w:p>
        </w:tc>
        <w:tc>
          <w:tcPr>
            <w:tcW w:w="5518" w:type="dxa"/>
            <w:shd w:val="clear" w:color="auto" w:fill="auto"/>
            <w:tcMar>
              <w:left w:w="108" w:type="dxa"/>
            </w:tcMar>
            <w:vAlign w:val="center"/>
          </w:tcPr>
          <w:p w14:paraId="1DDBC8A2" w14:textId="77777777" w:rsidR="00757A56" w:rsidRDefault="00757A56">
            <w:pPr>
              <w:spacing w:after="0" w:line="240" w:lineRule="auto"/>
              <w:jc w:val="both"/>
              <w:rPr>
                <w:rFonts w:ascii="Times New Roman" w:hAnsi="Times New Roman" w:cs="Times New Roman"/>
              </w:rPr>
            </w:pPr>
          </w:p>
          <w:p w14:paraId="13ACA986"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Limitation de l’accueil des groupes extrascolaires et périscolaires dans les ERP de types X, PA et L aux seuls groupes constitués pour l’accueil des enfants des personnels indispensables à la gestion de la crise sanitaire. </w:t>
            </w:r>
          </w:p>
          <w:p w14:paraId="61F035C5" w14:textId="77777777" w:rsidR="00757A56" w:rsidRDefault="00757A56">
            <w:pPr>
              <w:spacing w:after="0" w:line="240" w:lineRule="auto"/>
              <w:jc w:val="both"/>
              <w:rPr>
                <w:rFonts w:ascii="Times New Roman" w:hAnsi="Times New Roman" w:cs="Times New Roman"/>
              </w:rPr>
            </w:pPr>
          </w:p>
          <w:p w14:paraId="574BBA54"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Dans les ERP de types X (établi</w:t>
            </w:r>
            <w:r>
              <w:rPr>
                <w:rFonts w:ascii="Times New Roman" w:hAnsi="Times New Roman" w:cs="Times New Roman"/>
              </w:rPr>
              <w:t>ssements sportifs couverts) et L (salles à usage multiple), limitation des activités extrascolaires autorisées aux seules activités (non sportives) destinées aux enfants des publics prioritaires.</w:t>
            </w:r>
          </w:p>
          <w:p w14:paraId="0F381AB6" w14:textId="77777777" w:rsidR="00757A56" w:rsidRDefault="00757A56">
            <w:pPr>
              <w:spacing w:after="0" w:line="240" w:lineRule="auto"/>
              <w:jc w:val="both"/>
              <w:rPr>
                <w:rFonts w:ascii="Times New Roman" w:hAnsi="Times New Roman" w:cs="Times New Roman"/>
              </w:rPr>
            </w:pPr>
          </w:p>
          <w:p w14:paraId="766564B2"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Dans les ERP de type PA (établissements sportifs de plein air), accueil possible pour les groupes scolaires et périscolaires constitués pour l’accueil des enfants des personnes prioritaires. </w:t>
            </w:r>
          </w:p>
          <w:p w14:paraId="2AD503CA" w14:textId="77777777" w:rsidR="00757A56" w:rsidRDefault="00757A56">
            <w:pPr>
              <w:spacing w:after="0" w:line="240" w:lineRule="auto"/>
              <w:jc w:val="both"/>
              <w:rPr>
                <w:rFonts w:ascii="Times New Roman" w:hAnsi="Times New Roman" w:cs="Times New Roman"/>
              </w:rPr>
            </w:pPr>
          </w:p>
          <w:p w14:paraId="48FF316D"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Pour les autres enfants, autorisation des seules activités phys</w:t>
            </w:r>
            <w:r>
              <w:rPr>
                <w:rFonts w:ascii="Times New Roman" w:hAnsi="Times New Roman" w:cs="Times New Roman"/>
              </w:rPr>
              <w:t>iques et sportives extrascolaires individuelles (hors sports de combat), comme pour les adultes.</w:t>
            </w:r>
          </w:p>
          <w:p w14:paraId="011802A9"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vAlign w:val="center"/>
          </w:tcPr>
          <w:p w14:paraId="112ABBA1"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Les activités physiques et sportives en intérieur pour les groupes scolaires sont interdites. </w:t>
            </w:r>
          </w:p>
          <w:p w14:paraId="2F6CC5BD" w14:textId="77777777" w:rsidR="00757A56" w:rsidRDefault="00757A56">
            <w:pPr>
              <w:spacing w:after="0" w:line="240" w:lineRule="auto"/>
              <w:jc w:val="both"/>
              <w:rPr>
                <w:rFonts w:ascii="Times New Roman" w:hAnsi="Times New Roman" w:cs="Times New Roman"/>
              </w:rPr>
            </w:pPr>
          </w:p>
          <w:p w14:paraId="7AEAB61E"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Les enfants de l’aide sociale à l’enfance sont soumis au même </w:t>
            </w:r>
            <w:r>
              <w:rPr>
                <w:rFonts w:ascii="Times New Roman" w:hAnsi="Times New Roman" w:cs="Times New Roman"/>
              </w:rPr>
              <w:t>régime que les enfants des personnels indispensables à la gestion de la crise sanitaire.</w:t>
            </w:r>
          </w:p>
        </w:tc>
      </w:tr>
      <w:tr w:rsidR="00757A56" w14:paraId="5C174E14" w14:textId="77777777">
        <w:tc>
          <w:tcPr>
            <w:tcW w:w="1645" w:type="dxa"/>
            <w:shd w:val="clear" w:color="auto" w:fill="BDD6EE" w:themeFill="accent1" w:themeFillTint="66"/>
            <w:tcMar>
              <w:left w:w="108" w:type="dxa"/>
            </w:tcMar>
            <w:vAlign w:val="center"/>
          </w:tcPr>
          <w:p w14:paraId="1A73182F"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Vaccination</w:t>
            </w:r>
          </w:p>
        </w:tc>
        <w:tc>
          <w:tcPr>
            <w:tcW w:w="1353" w:type="dxa"/>
            <w:shd w:val="clear" w:color="auto" w:fill="D0CECE" w:themeFill="background2" w:themeFillShade="E6"/>
            <w:tcMar>
              <w:left w:w="108" w:type="dxa"/>
            </w:tcMar>
            <w:vAlign w:val="center"/>
          </w:tcPr>
          <w:p w14:paraId="4C738310"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Article 53-1 du décret du 29/10/2020</w:t>
            </w:r>
          </w:p>
          <w:p w14:paraId="0677DB4D" w14:textId="77777777" w:rsidR="00757A56" w:rsidRDefault="00757A56">
            <w:pPr>
              <w:spacing w:after="0" w:line="240" w:lineRule="auto"/>
              <w:jc w:val="center"/>
              <w:rPr>
                <w:rFonts w:ascii="Times New Roman" w:hAnsi="Times New Roman" w:cs="Times New Roman"/>
              </w:rPr>
            </w:pPr>
          </w:p>
          <w:p w14:paraId="3F24CE52" w14:textId="77777777" w:rsidR="00757A56" w:rsidRDefault="00C63D1A">
            <w:pPr>
              <w:spacing w:after="0" w:line="240" w:lineRule="auto"/>
              <w:jc w:val="center"/>
              <w:rPr>
                <w:rFonts w:ascii="Times New Roman" w:hAnsi="Times New Roman" w:cs="Times New Roman"/>
              </w:rPr>
            </w:pPr>
            <w:r>
              <w:rPr>
                <w:rFonts w:ascii="Times New Roman" w:hAnsi="Times New Roman" w:cs="Times New Roman"/>
              </w:rPr>
              <w:t>Annexes 4 et 6 du décret du 29/10/2020</w:t>
            </w:r>
          </w:p>
        </w:tc>
        <w:tc>
          <w:tcPr>
            <w:tcW w:w="5518" w:type="dxa"/>
            <w:shd w:val="clear" w:color="auto" w:fill="auto"/>
            <w:tcMar>
              <w:left w:w="108" w:type="dxa"/>
            </w:tcMar>
            <w:vAlign w:val="center"/>
          </w:tcPr>
          <w:p w14:paraId="020C0638" w14:textId="77777777" w:rsidR="00757A56" w:rsidRDefault="00757A56">
            <w:pPr>
              <w:spacing w:after="0" w:line="240" w:lineRule="auto"/>
              <w:jc w:val="both"/>
              <w:rPr>
                <w:rFonts w:ascii="Times New Roman" w:hAnsi="Times New Roman" w:cs="Times New Roman"/>
              </w:rPr>
            </w:pPr>
          </w:p>
          <w:p w14:paraId="2257516F"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Modification des dispositions relatives à la vaccination :</w:t>
            </w:r>
          </w:p>
          <w:p w14:paraId="0ADBE6EC" w14:textId="77777777" w:rsidR="00757A56" w:rsidRDefault="00757A56">
            <w:pPr>
              <w:spacing w:after="0" w:line="240" w:lineRule="auto"/>
              <w:jc w:val="both"/>
              <w:rPr>
                <w:rFonts w:ascii="Times New Roman" w:hAnsi="Times New Roman" w:cs="Times New Roman"/>
              </w:rPr>
            </w:pPr>
          </w:p>
          <w:p w14:paraId="31369CD0"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 pour prévoir des renforts dans les pharmacies à usage intérieur (PUI), </w:t>
            </w:r>
          </w:p>
          <w:p w14:paraId="172AB06E" w14:textId="77777777" w:rsidR="00757A56" w:rsidRDefault="00757A56">
            <w:pPr>
              <w:spacing w:after="0" w:line="240" w:lineRule="auto"/>
              <w:jc w:val="both"/>
              <w:rPr>
                <w:rFonts w:ascii="Times New Roman" w:hAnsi="Times New Roman" w:cs="Times New Roman"/>
              </w:rPr>
            </w:pPr>
          </w:p>
          <w:p w14:paraId="5BBF2FC5"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xml:space="preserve">- pour permettre aux pharmaciens et aux auxiliaires des armées, aux vétérinaires retraités ou inspecteurs de participer à la vaccination, </w:t>
            </w:r>
          </w:p>
          <w:p w14:paraId="5098812A" w14:textId="77777777" w:rsidR="00757A56" w:rsidRDefault="00757A56">
            <w:pPr>
              <w:spacing w:after="0" w:line="240" w:lineRule="auto"/>
              <w:jc w:val="both"/>
              <w:rPr>
                <w:rFonts w:ascii="Times New Roman" w:hAnsi="Times New Roman" w:cs="Times New Roman"/>
              </w:rPr>
            </w:pPr>
          </w:p>
          <w:p w14:paraId="05A017FB"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 pour préciser les modalités de la parti</w:t>
            </w:r>
            <w:r>
              <w:rPr>
                <w:rFonts w:ascii="Times New Roman" w:hAnsi="Times New Roman" w:cs="Times New Roman"/>
              </w:rPr>
              <w:t xml:space="preserve">cipation des militaires à la vaccination des civils dans des centres de vaccination et, inversement, la participation des professionnels et étudiants en santé à la vaccination des militaires et personnels civiles du ministère de la défense, </w:t>
            </w:r>
          </w:p>
          <w:p w14:paraId="69C4A4FD"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lastRenderedPageBreak/>
              <w:t>- enfin pour p</w:t>
            </w:r>
            <w:r>
              <w:rPr>
                <w:rFonts w:ascii="Times New Roman" w:hAnsi="Times New Roman" w:cs="Times New Roman"/>
              </w:rPr>
              <w:t>réciser la formation requise des étudiants en pharmacie pour injecter le vaccin.</w:t>
            </w:r>
          </w:p>
          <w:p w14:paraId="37FA6F94" w14:textId="77777777" w:rsidR="00757A56" w:rsidRDefault="00757A56">
            <w:pPr>
              <w:spacing w:after="0" w:line="240" w:lineRule="auto"/>
              <w:jc w:val="both"/>
              <w:rPr>
                <w:rFonts w:ascii="Times New Roman" w:hAnsi="Times New Roman" w:cs="Times New Roman"/>
              </w:rPr>
            </w:pPr>
          </w:p>
          <w:p w14:paraId="1D97494C"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Ajout au II de l’annexe 4 du vaccin de Janssen qui a reçu une AMM le 11 mars 2021 et un avis de la HAS le 12 mars 2021.</w:t>
            </w:r>
          </w:p>
          <w:p w14:paraId="4FE3BBDB" w14:textId="77777777" w:rsidR="00757A56" w:rsidRDefault="00757A56">
            <w:pPr>
              <w:spacing w:after="0" w:line="240" w:lineRule="auto"/>
              <w:jc w:val="both"/>
              <w:rPr>
                <w:rFonts w:ascii="Times New Roman" w:hAnsi="Times New Roman" w:cs="Times New Roman"/>
              </w:rPr>
            </w:pPr>
          </w:p>
        </w:tc>
        <w:tc>
          <w:tcPr>
            <w:tcW w:w="5477" w:type="dxa"/>
            <w:shd w:val="clear" w:color="auto" w:fill="auto"/>
            <w:tcMar>
              <w:left w:w="108" w:type="dxa"/>
            </w:tcMar>
          </w:tcPr>
          <w:p w14:paraId="6EAA92D4" w14:textId="77777777" w:rsidR="00757A56" w:rsidRDefault="00757A56">
            <w:pPr>
              <w:spacing w:after="0" w:line="240" w:lineRule="auto"/>
              <w:jc w:val="both"/>
              <w:rPr>
                <w:rFonts w:ascii="Times New Roman" w:hAnsi="Times New Roman" w:cs="Times New Roman"/>
              </w:rPr>
            </w:pPr>
          </w:p>
          <w:p w14:paraId="20CFB9CA" w14:textId="77777777" w:rsidR="00757A56" w:rsidRDefault="00C63D1A">
            <w:pPr>
              <w:spacing w:after="0" w:line="240" w:lineRule="auto"/>
              <w:jc w:val="both"/>
              <w:rPr>
                <w:rFonts w:ascii="Times New Roman" w:hAnsi="Times New Roman" w:cs="Times New Roman"/>
              </w:rPr>
            </w:pPr>
            <w:r>
              <w:rPr>
                <w:rFonts w:ascii="Times New Roman" w:hAnsi="Times New Roman" w:cs="Times New Roman"/>
              </w:rPr>
              <w:t>Ces modifications sont reproduites à l’identique dan</w:t>
            </w:r>
            <w:r>
              <w:rPr>
                <w:rFonts w:ascii="Times New Roman" w:hAnsi="Times New Roman" w:cs="Times New Roman"/>
              </w:rPr>
              <w:t>s le décret du 16 octobre 2020 pour l’outre-mer (article 55-1 et annexes 6 et 7).</w:t>
            </w:r>
          </w:p>
        </w:tc>
      </w:tr>
    </w:tbl>
    <w:p w14:paraId="051B2AFD" w14:textId="77777777" w:rsidR="00757A56" w:rsidRDefault="00757A56">
      <w:pPr>
        <w:jc w:val="center"/>
        <w:rPr>
          <w:rFonts w:ascii="Times New Roman" w:hAnsi="Times New Roman" w:cs="Times New Roman"/>
        </w:rPr>
      </w:pPr>
    </w:p>
    <w:p w14:paraId="7E4CD797" w14:textId="77777777" w:rsidR="00757A56" w:rsidRDefault="00757A56">
      <w:pPr>
        <w:jc w:val="center"/>
      </w:pPr>
    </w:p>
    <w:sectPr w:rsidR="00757A56">
      <w:footerReference w:type="default" r:id="rId8"/>
      <w:pgSz w:w="16838" w:h="11906" w:orient="landscape"/>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E9CB" w14:textId="77777777" w:rsidR="00000000" w:rsidRDefault="00C63D1A">
      <w:pPr>
        <w:spacing w:after="0" w:line="240" w:lineRule="auto"/>
      </w:pPr>
      <w:r>
        <w:separator/>
      </w:r>
    </w:p>
  </w:endnote>
  <w:endnote w:type="continuationSeparator" w:id="0">
    <w:p w14:paraId="0E1C5357" w14:textId="77777777" w:rsidR="00000000" w:rsidRDefault="00C6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950772"/>
      <w:docPartObj>
        <w:docPartGallery w:val="Page Numbers (Bottom of Page)"/>
        <w:docPartUnique/>
      </w:docPartObj>
    </w:sdtPr>
    <w:sdtEndPr/>
    <w:sdtContent>
      <w:p w14:paraId="31A53829" w14:textId="77777777" w:rsidR="00757A56" w:rsidRDefault="00C63D1A">
        <w:pPr>
          <w:pStyle w:val="Pieddepage"/>
          <w:jc w:val="right"/>
        </w:pPr>
        <w:r>
          <w:fldChar w:fldCharType="begin"/>
        </w:r>
        <w:r>
          <w:instrText>PAGE</w:instrText>
        </w:r>
        <w:r>
          <w:fldChar w:fldCharType="separate"/>
        </w:r>
        <w:r>
          <w:t>7</w:t>
        </w:r>
        <w:r>
          <w:fldChar w:fldCharType="end"/>
        </w:r>
      </w:p>
    </w:sdtContent>
  </w:sdt>
  <w:p w14:paraId="2A685A55" w14:textId="77777777" w:rsidR="00757A56" w:rsidRDefault="00757A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B816" w14:textId="77777777" w:rsidR="00000000" w:rsidRDefault="00C63D1A">
      <w:pPr>
        <w:spacing w:after="0" w:line="240" w:lineRule="auto"/>
      </w:pPr>
      <w:r>
        <w:separator/>
      </w:r>
    </w:p>
  </w:footnote>
  <w:footnote w:type="continuationSeparator" w:id="0">
    <w:p w14:paraId="47D11B30" w14:textId="77777777" w:rsidR="00000000" w:rsidRDefault="00C63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31133"/>
    <w:multiLevelType w:val="multilevel"/>
    <w:tmpl w:val="1C62447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BE75737"/>
    <w:multiLevelType w:val="multilevel"/>
    <w:tmpl w:val="253E10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56"/>
    <w:rsid w:val="00757A56"/>
    <w:rsid w:val="00C63D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3248"/>
  <w15:docId w15:val="{EBD1B465-9210-4322-B95F-C8208968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F5223F"/>
  </w:style>
  <w:style w:type="character" w:customStyle="1" w:styleId="PieddepageCar">
    <w:name w:val="Pied de page Car"/>
    <w:basedOn w:val="Policepardfaut"/>
    <w:link w:val="Pieddepage"/>
    <w:uiPriority w:val="99"/>
    <w:qFormat/>
    <w:rsid w:val="00F5223F"/>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367BCA"/>
    <w:pPr>
      <w:ind w:left="720"/>
      <w:contextualSpacing/>
    </w:pPr>
  </w:style>
  <w:style w:type="paragraph" w:styleId="En-tte">
    <w:name w:val="header"/>
    <w:basedOn w:val="Normal"/>
    <w:uiPriority w:val="99"/>
    <w:unhideWhenUsed/>
    <w:rsid w:val="00F5223F"/>
    <w:pPr>
      <w:tabs>
        <w:tab w:val="center" w:pos="4536"/>
        <w:tab w:val="right" w:pos="9072"/>
      </w:tabs>
      <w:spacing w:after="0" w:line="240" w:lineRule="auto"/>
    </w:pPr>
  </w:style>
  <w:style w:type="paragraph" w:styleId="Pieddepage">
    <w:name w:val="footer"/>
    <w:basedOn w:val="Normal"/>
    <w:link w:val="PieddepageCar"/>
    <w:uiPriority w:val="99"/>
    <w:unhideWhenUsed/>
    <w:rsid w:val="00F5223F"/>
    <w:pPr>
      <w:tabs>
        <w:tab w:val="center" w:pos="4536"/>
        <w:tab w:val="right" w:pos="9072"/>
      </w:tabs>
      <w:spacing w:after="0" w:line="240" w:lineRule="auto"/>
    </w:pPr>
  </w:style>
  <w:style w:type="table" w:styleId="Grilledutableau">
    <w:name w:val="Table Grid"/>
    <w:basedOn w:val="TableauNormal"/>
    <w:uiPriority w:val="39"/>
    <w:rsid w:val="0036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0B2A-D28D-4CF4-81D0-D230E908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1783</Words>
  <Characters>9812</Characters>
  <Application>Microsoft Office Word</Application>
  <DocSecurity>4</DocSecurity>
  <Lines>81</Lines>
  <Paragraphs>23</Paragraphs>
  <ScaleCrop>false</ScaleCrop>
  <Company>DSIC</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DAVIDOVICS</dc:creator>
  <dc:description/>
  <cp:lastModifiedBy>Cécile DAVIDOVICS</cp:lastModifiedBy>
  <cp:revision>2</cp:revision>
  <dcterms:created xsi:type="dcterms:W3CDTF">2021-04-08T22:14:00Z</dcterms:created>
  <dcterms:modified xsi:type="dcterms:W3CDTF">2021-04-08T22:14:00Z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